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99" w:lineRule="exact" w:before="67"/>
        <w:ind w:left="269" w:right="0" w:firstLine="0"/>
        <w:jc w:val="left"/>
        <w:rPr>
          <w:b/>
          <w:sz w:val="52"/>
        </w:rPr>
      </w:pPr>
      <w:r>
        <w:rPr/>
        <w:pict>
          <v:group style="position:absolute;margin-left:17.307114pt;margin-top:21.14558pt;width:569.25pt;height:748.75pt;mso-position-horizontal-relative:page;mso-position-vertical-relative:page;z-index:-3832" coordorigin="346,423" coordsize="11385,14975">
            <v:shape style="position:absolute;left:3192;top:422;width:8510;height:520" type="#_x0000_t75" stroked="false">
              <v:imagedata r:id="rId5" o:title=""/>
            </v:shape>
            <v:line style="position:absolute" from="3207,1615" to="3207,923" stroked="true" strokeweight=".72113pt" strokecolor="#000000">
              <v:stroke dashstyle="solid"/>
            </v:line>
            <v:shape style="position:absolute;left:436;top:460;width:11208;height:14938" coordorigin="437,461" coordsize="11208,14938" path="m11663,15398l11663,923m437,15379l437,442e" filled="false" stroked="true" strokeweight="2.884005pt" strokecolor="#000000">
              <v:path arrowok="t"/>
              <v:stroke dashstyle="solid"/>
            </v:shape>
            <v:line style="position:absolute" from="442,485" to="3192,485" stroked="true" strokeweight="2.64320pt" strokecolor="#000000">
              <v:stroke dashstyle="solid"/>
            </v:line>
            <v:line style="position:absolute" from="558,1591" to="11730,1591" stroked="true" strokeweight=".720873pt" strokecolor="#000000">
              <v:stroke dashstyle="solid"/>
            </v:line>
            <v:line style="position:absolute" from="346,15335" to="11692,15335" stroked="true" strokeweight="2.883491pt" strokecolor="#000000">
              <v:stroke dashstyle="solid"/>
            </v:line>
            <w10:wrap type="none"/>
          </v:group>
        </w:pict>
      </w:r>
      <w:r>
        <w:rPr>
          <w:b/>
          <w:color w:val="1C425D"/>
          <w:sz w:val="52"/>
        </w:rPr>
        <w:t>Douglas</w:t>
      </w:r>
    </w:p>
    <w:p>
      <w:pPr>
        <w:tabs>
          <w:tab w:pos="6948" w:val="left" w:leader="none"/>
        </w:tabs>
        <w:spacing w:line="117" w:lineRule="auto" w:before="41"/>
        <w:ind w:left="261" w:right="0" w:firstLine="0"/>
        <w:jc w:val="left"/>
        <w:rPr>
          <w:b/>
          <w:sz w:val="35"/>
        </w:rPr>
      </w:pPr>
      <w:r>
        <w:rPr>
          <w:b/>
          <w:color w:val="1C425D"/>
          <w:w w:val="105"/>
          <w:position w:val="-17"/>
          <w:sz w:val="49"/>
        </w:rPr>
        <w:t>Emmett</w:t>
        <w:tab/>
      </w:r>
      <w:r>
        <w:rPr>
          <w:b/>
          <w:color w:val="212121"/>
          <w:w w:val="105"/>
          <w:sz w:val="35"/>
        </w:rPr>
        <w:t>Gateway Los</w:t>
      </w:r>
      <w:r>
        <w:rPr>
          <w:b/>
          <w:color w:val="212121"/>
          <w:spacing w:val="-41"/>
          <w:w w:val="105"/>
          <w:sz w:val="35"/>
        </w:rPr>
        <w:t> </w:t>
      </w:r>
      <w:r>
        <w:rPr>
          <w:b/>
          <w:color w:val="212121"/>
          <w:w w:val="105"/>
          <w:sz w:val="35"/>
        </w:rPr>
        <w:t>Angeles</w:t>
      </w:r>
    </w:p>
    <w:p>
      <w:pPr>
        <w:spacing w:line="254" w:lineRule="auto" w:before="381"/>
        <w:ind w:left="273" w:right="0" w:firstLine="3"/>
        <w:jc w:val="left"/>
        <w:rPr>
          <w:i/>
          <w:sz w:val="17"/>
        </w:rPr>
      </w:pPr>
      <w:r>
        <w:rPr>
          <w:i/>
          <w:color w:val="212121"/>
          <w:w w:val="105"/>
          <w:sz w:val="17"/>
        </w:rPr>
        <w:t>All companies or individuals performing services must provide </w:t>
      </w:r>
      <w:r>
        <w:rPr>
          <w:color w:val="212121"/>
          <w:w w:val="105"/>
          <w:sz w:val="17"/>
        </w:rPr>
        <w:t>a </w:t>
      </w:r>
      <w:r>
        <w:rPr>
          <w:i/>
          <w:color w:val="212121"/>
          <w:w w:val="105"/>
          <w:sz w:val="17"/>
        </w:rPr>
        <w:t>valid Certificate of Insurance, together with an Endorsement that cert</w:t>
      </w:r>
      <w:r>
        <w:rPr>
          <w:i/>
          <w:color w:val="3F3F3F"/>
          <w:w w:val="105"/>
          <w:sz w:val="17"/>
        </w:rPr>
        <w:t>i</w:t>
      </w:r>
      <w:r>
        <w:rPr>
          <w:i/>
          <w:color w:val="212121"/>
          <w:w w:val="105"/>
          <w:sz w:val="17"/>
        </w:rPr>
        <w:t>fies the submitted certificate is </w:t>
      </w:r>
      <w:r>
        <w:rPr>
          <w:color w:val="212121"/>
          <w:w w:val="105"/>
          <w:sz w:val="17"/>
        </w:rPr>
        <w:t>a </w:t>
      </w:r>
      <w:r>
        <w:rPr>
          <w:i/>
          <w:color w:val="212121"/>
          <w:w w:val="105"/>
          <w:sz w:val="17"/>
        </w:rPr>
        <w:t>valid document, to the Office of the Building prior to commencement of any work.</w:t>
      </w:r>
    </w:p>
    <w:p>
      <w:pPr>
        <w:pStyle w:val="BodyText"/>
        <w:spacing w:before="128"/>
        <w:ind w:left="274"/>
      </w:pPr>
      <w:r>
        <w:rPr>
          <w:color w:val="212121"/>
          <w:w w:val="105"/>
        </w:rPr>
        <w:t>Please ensure that the certificate you submit is completed accurately and in accordance with the requirements stated below</w:t>
      </w:r>
      <w:r>
        <w:rPr>
          <w:color w:val="3F3F3F"/>
          <w:w w:val="105"/>
        </w:rPr>
        <w:t>.</w:t>
      </w:r>
    </w:p>
    <w:p>
      <w:pPr>
        <w:pStyle w:val="BodyText"/>
        <w:spacing w:before="7"/>
        <w:rPr>
          <w:sz w:val="13"/>
        </w:rPr>
      </w:pPr>
    </w:p>
    <w:p>
      <w:pPr>
        <w:spacing w:before="95"/>
        <w:ind w:left="333" w:right="0" w:firstLine="0"/>
        <w:jc w:val="left"/>
        <w:rPr>
          <w:b/>
          <w:sz w:val="17"/>
        </w:rPr>
      </w:pPr>
      <w:r>
        <w:rPr>
          <w:b/>
          <w:color w:val="FDFDFD"/>
          <w:w w:val="105"/>
          <w:sz w:val="17"/>
          <w:shd w:fill="083659" w:color="auto" w:val="clear"/>
        </w:rPr>
        <w:t>REQUIRED ENDORSEMENTS </w:t>
      </w:r>
      <w:r>
        <w:rPr>
          <w:b/>
          <w:color w:val="DFE6E9"/>
          <w:w w:val="105"/>
          <w:sz w:val="17"/>
          <w:shd w:fill="FFFFFF" w:color="auto" w:val="clear"/>
        </w:rPr>
        <w:t>:</w:t>
      </w:r>
    </w:p>
    <w:p>
      <w:pPr>
        <w:pStyle w:val="BodyText"/>
        <w:spacing w:before="9"/>
        <w:rPr>
          <w:b/>
          <w:sz w:val="13"/>
        </w:rPr>
      </w:pPr>
    </w:p>
    <w:tbl>
      <w:tblPr>
        <w:tblW w:w="0" w:type="auto"/>
        <w:jc w:val="left"/>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21"/>
        <w:gridCol w:w="7740"/>
      </w:tblGrid>
      <w:tr>
        <w:trPr>
          <w:trHeight w:val="667" w:hRule="atLeast"/>
        </w:trPr>
        <w:tc>
          <w:tcPr>
            <w:tcW w:w="2721" w:type="dxa"/>
            <w:tcBorders>
              <w:top w:val="nil"/>
              <w:bottom w:val="single" w:sz="4" w:space="0" w:color="000000"/>
            </w:tcBorders>
          </w:tcPr>
          <w:p>
            <w:pPr>
              <w:pStyle w:val="TableParagraph"/>
              <w:spacing w:before="119"/>
              <w:ind w:left="135"/>
              <w:rPr>
                <w:b/>
                <w:sz w:val="17"/>
              </w:rPr>
            </w:pPr>
            <w:r>
              <w:rPr>
                <w:b/>
                <w:color w:val="212121"/>
                <w:w w:val="105"/>
                <w:sz w:val="17"/>
              </w:rPr>
              <w:t>Location:</w:t>
            </w:r>
          </w:p>
        </w:tc>
        <w:tc>
          <w:tcPr>
            <w:tcW w:w="7740" w:type="dxa"/>
            <w:tcBorders>
              <w:top w:val="nil"/>
              <w:bottom w:val="single" w:sz="4" w:space="0" w:color="000000"/>
            </w:tcBorders>
          </w:tcPr>
          <w:p>
            <w:pPr>
              <w:pStyle w:val="TableParagraph"/>
              <w:spacing w:line="254" w:lineRule="auto" w:before="124"/>
              <w:ind w:left="125" w:firstLine="4"/>
              <w:rPr>
                <w:sz w:val="17"/>
              </w:rPr>
            </w:pPr>
            <w:r>
              <w:rPr>
                <w:color w:val="212121"/>
                <w:w w:val="105"/>
                <w:sz w:val="17"/>
              </w:rPr>
              <w:t>The physical location/address where the work is being performed must be indicated on the Cert</w:t>
            </w:r>
            <w:r>
              <w:rPr>
                <w:color w:val="3F3F3F"/>
                <w:w w:val="105"/>
                <w:sz w:val="17"/>
              </w:rPr>
              <w:t>i</w:t>
            </w:r>
            <w:r>
              <w:rPr>
                <w:color w:val="212121"/>
                <w:w w:val="105"/>
                <w:sz w:val="17"/>
              </w:rPr>
              <w:t>ficate of Insurance.</w:t>
            </w:r>
          </w:p>
        </w:tc>
      </w:tr>
      <w:tr>
        <w:trPr>
          <w:trHeight w:val="1179" w:hRule="atLeast"/>
        </w:trPr>
        <w:tc>
          <w:tcPr>
            <w:tcW w:w="2721" w:type="dxa"/>
            <w:tcBorders>
              <w:top w:val="single" w:sz="4" w:space="0" w:color="000000"/>
            </w:tcBorders>
          </w:tcPr>
          <w:p>
            <w:pPr>
              <w:pStyle w:val="TableParagraph"/>
              <w:spacing w:before="143"/>
              <w:ind w:left="126"/>
              <w:rPr>
                <w:b/>
                <w:sz w:val="17"/>
              </w:rPr>
            </w:pPr>
            <w:r>
              <w:rPr>
                <w:b/>
                <w:color w:val="212121"/>
                <w:w w:val="105"/>
                <w:sz w:val="17"/>
              </w:rPr>
              <w:t>Certificate Holder:</w:t>
            </w:r>
          </w:p>
          <w:p>
            <w:pPr>
              <w:pStyle w:val="TableParagraph"/>
              <w:spacing w:line="256" w:lineRule="auto" w:before="155"/>
              <w:ind w:left="124" w:right="193"/>
              <w:rPr>
                <w:i/>
                <w:sz w:val="15"/>
              </w:rPr>
            </w:pPr>
            <w:r>
              <w:rPr>
                <w:i/>
                <w:color w:val="212121"/>
                <w:w w:val="105"/>
                <w:sz w:val="15"/>
              </w:rPr>
              <w:t>The following party must be named as </w:t>
            </w:r>
            <w:r>
              <w:rPr>
                <w:color w:val="212121"/>
                <w:w w:val="105"/>
                <w:sz w:val="15"/>
              </w:rPr>
              <w:t>a </w:t>
            </w:r>
            <w:r>
              <w:rPr>
                <w:i/>
                <w:color w:val="212121"/>
                <w:w w:val="105"/>
                <w:sz w:val="15"/>
              </w:rPr>
              <w:t>Certificate Holder on your policy</w:t>
            </w:r>
          </w:p>
        </w:tc>
        <w:tc>
          <w:tcPr>
            <w:tcW w:w="7740" w:type="dxa"/>
            <w:tcBorders>
              <w:top w:val="single" w:sz="4" w:space="0" w:color="000000"/>
            </w:tcBorders>
          </w:tcPr>
          <w:p>
            <w:pPr>
              <w:pStyle w:val="TableParagraph"/>
              <w:rPr>
                <w:b/>
                <w:sz w:val="18"/>
              </w:rPr>
            </w:pPr>
          </w:p>
          <w:p>
            <w:pPr>
              <w:pStyle w:val="TableParagraph"/>
              <w:spacing w:before="118"/>
              <w:ind w:left="121"/>
              <w:rPr>
                <w:sz w:val="17"/>
              </w:rPr>
            </w:pPr>
            <w:r>
              <w:rPr>
                <w:color w:val="212121"/>
                <w:w w:val="105"/>
                <w:sz w:val="17"/>
              </w:rPr>
              <w:t>Douglas Emmett 1993, LLC</w:t>
            </w:r>
          </w:p>
          <w:p>
            <w:pPr>
              <w:pStyle w:val="TableParagraph"/>
              <w:spacing w:before="151"/>
              <w:ind w:left="115"/>
              <w:rPr>
                <w:sz w:val="17"/>
              </w:rPr>
            </w:pPr>
            <w:r>
              <w:rPr>
                <w:color w:val="212121"/>
                <w:w w:val="105"/>
                <w:sz w:val="17"/>
              </w:rPr>
              <w:t>12424 Wilshire Blvd., Los Angeles, CA 90025</w:t>
            </w:r>
          </w:p>
        </w:tc>
      </w:tr>
      <w:tr>
        <w:trPr>
          <w:trHeight w:val="357" w:hRule="atLeast"/>
        </w:trPr>
        <w:tc>
          <w:tcPr>
            <w:tcW w:w="2721" w:type="dxa"/>
            <w:tcBorders>
              <w:bottom w:val="nil"/>
            </w:tcBorders>
          </w:tcPr>
          <w:p>
            <w:pPr>
              <w:pStyle w:val="TableParagraph"/>
              <w:rPr>
                <w:rFonts w:ascii="Times New Roman"/>
                <w:sz w:val="16"/>
              </w:rPr>
            </w:pPr>
          </w:p>
        </w:tc>
        <w:tc>
          <w:tcPr>
            <w:tcW w:w="7740" w:type="dxa"/>
            <w:tcBorders>
              <w:bottom w:val="nil"/>
            </w:tcBorders>
          </w:tcPr>
          <w:p>
            <w:pPr>
              <w:pStyle w:val="TableParagraph"/>
              <w:spacing w:line="188" w:lineRule="exact" w:before="150"/>
              <w:ind w:left="120"/>
              <w:rPr>
                <w:sz w:val="17"/>
              </w:rPr>
            </w:pPr>
            <w:r>
              <w:rPr>
                <w:color w:val="212121"/>
                <w:w w:val="105"/>
                <w:sz w:val="17"/>
              </w:rPr>
              <w:t>Gateway Los Angeles</w:t>
            </w:r>
          </w:p>
        </w:tc>
      </w:tr>
      <w:tr>
        <w:trPr>
          <w:trHeight w:val="1520" w:hRule="atLeast"/>
        </w:trPr>
        <w:tc>
          <w:tcPr>
            <w:tcW w:w="2721" w:type="dxa"/>
            <w:tcBorders>
              <w:top w:val="nil"/>
              <w:right w:val="nil"/>
            </w:tcBorders>
          </w:tcPr>
          <w:p>
            <w:pPr>
              <w:pStyle w:val="TableParagraph"/>
              <w:spacing w:before="138"/>
              <w:ind w:left="119"/>
              <w:rPr>
                <w:b/>
                <w:sz w:val="17"/>
              </w:rPr>
            </w:pPr>
            <w:r>
              <w:rPr>
                <w:b/>
                <w:color w:val="212121"/>
                <w:w w:val="105"/>
                <w:sz w:val="17"/>
              </w:rPr>
              <w:t>Additional Insureds:</w:t>
            </w:r>
          </w:p>
          <w:p>
            <w:pPr>
              <w:pStyle w:val="TableParagraph"/>
              <w:spacing w:before="4"/>
              <w:rPr>
                <w:b/>
                <w:sz w:val="14"/>
              </w:rPr>
            </w:pPr>
          </w:p>
          <w:p>
            <w:pPr>
              <w:pStyle w:val="TableParagraph"/>
              <w:spacing w:line="247" w:lineRule="auto"/>
              <w:ind w:left="110" w:right="83" w:firstLine="10"/>
              <w:rPr>
                <w:i/>
                <w:sz w:val="15"/>
              </w:rPr>
            </w:pPr>
            <w:r>
              <w:rPr>
                <w:i/>
                <w:color w:val="212121"/>
                <w:w w:val="105"/>
                <w:sz w:val="15"/>
              </w:rPr>
              <w:t>The following parties must be named as an additional insured on your policy</w:t>
            </w:r>
          </w:p>
        </w:tc>
        <w:tc>
          <w:tcPr>
            <w:tcW w:w="7740" w:type="dxa"/>
            <w:tcBorders>
              <w:top w:val="nil"/>
              <w:left w:val="nil"/>
            </w:tcBorders>
          </w:tcPr>
          <w:p>
            <w:pPr>
              <w:pStyle w:val="TableParagraph"/>
              <w:spacing w:before="138"/>
              <w:ind w:left="123"/>
              <w:rPr>
                <w:sz w:val="17"/>
              </w:rPr>
            </w:pPr>
            <w:r>
              <w:rPr>
                <w:color w:val="212121"/>
                <w:w w:val="105"/>
                <w:sz w:val="17"/>
              </w:rPr>
              <w:t>Douglas Emmett, Inc.</w:t>
            </w:r>
          </w:p>
          <w:p>
            <w:pPr>
              <w:pStyle w:val="TableParagraph"/>
              <w:spacing w:before="146"/>
              <w:ind w:left="119" w:firstLine="4"/>
              <w:rPr>
                <w:sz w:val="17"/>
              </w:rPr>
            </w:pPr>
            <w:r>
              <w:rPr>
                <w:color w:val="212121"/>
                <w:w w:val="105"/>
                <w:sz w:val="17"/>
              </w:rPr>
              <w:t>Douglas Emmett Management</w:t>
            </w:r>
            <w:r>
              <w:rPr>
                <w:color w:val="3F3F3F"/>
                <w:w w:val="105"/>
                <w:sz w:val="17"/>
              </w:rPr>
              <w:t>, </w:t>
            </w:r>
            <w:r>
              <w:rPr>
                <w:color w:val="212121"/>
                <w:w w:val="105"/>
                <w:sz w:val="17"/>
              </w:rPr>
              <w:t>Inc</w:t>
            </w:r>
            <w:r>
              <w:rPr>
                <w:color w:val="727272"/>
                <w:w w:val="105"/>
                <w:sz w:val="17"/>
              </w:rPr>
              <w:t>.</w:t>
            </w:r>
          </w:p>
          <w:p>
            <w:pPr>
              <w:pStyle w:val="TableParagraph"/>
              <w:spacing w:line="350" w:lineRule="atLeast" w:before="6"/>
              <w:ind w:left="119" w:right="4141"/>
              <w:rPr>
                <w:sz w:val="17"/>
              </w:rPr>
            </w:pPr>
            <w:r>
              <w:rPr>
                <w:color w:val="212121"/>
                <w:w w:val="105"/>
                <w:sz w:val="17"/>
              </w:rPr>
              <w:t>Douglas Emmett Management, LLC Douglas Emmett Properties, LP</w:t>
            </w:r>
          </w:p>
        </w:tc>
      </w:tr>
      <w:tr>
        <w:trPr>
          <w:trHeight w:val="1450" w:hRule="atLeast"/>
        </w:trPr>
        <w:tc>
          <w:tcPr>
            <w:tcW w:w="2721" w:type="dxa"/>
            <w:tcBorders>
              <w:right w:val="nil"/>
            </w:tcBorders>
          </w:tcPr>
          <w:p>
            <w:pPr>
              <w:pStyle w:val="TableParagraph"/>
              <w:rPr>
                <w:b/>
                <w:sz w:val="18"/>
              </w:rPr>
            </w:pPr>
          </w:p>
          <w:p>
            <w:pPr>
              <w:pStyle w:val="TableParagraph"/>
              <w:rPr>
                <w:b/>
                <w:sz w:val="18"/>
              </w:rPr>
            </w:pPr>
          </w:p>
          <w:p>
            <w:pPr>
              <w:pStyle w:val="TableParagraph"/>
              <w:spacing w:line="254" w:lineRule="auto" w:before="106"/>
              <w:ind w:left="106"/>
              <w:rPr>
                <w:b/>
                <w:sz w:val="17"/>
              </w:rPr>
            </w:pPr>
            <w:r>
              <w:rPr>
                <w:b/>
                <w:color w:val="212121"/>
                <w:w w:val="105"/>
                <w:sz w:val="17"/>
              </w:rPr>
              <w:t>Cancellation and Notice Language:</w:t>
            </w:r>
          </w:p>
        </w:tc>
        <w:tc>
          <w:tcPr>
            <w:tcW w:w="7740" w:type="dxa"/>
            <w:tcBorders>
              <w:left w:val="nil"/>
            </w:tcBorders>
          </w:tcPr>
          <w:p>
            <w:pPr>
              <w:pStyle w:val="TableParagraph"/>
              <w:spacing w:line="254" w:lineRule="auto" w:before="145"/>
              <w:ind w:left="111" w:firstLine="2"/>
              <w:rPr>
                <w:sz w:val="17"/>
              </w:rPr>
            </w:pPr>
            <w:r>
              <w:rPr>
                <w:color w:val="212121"/>
                <w:w w:val="105"/>
                <w:sz w:val="17"/>
              </w:rPr>
              <w:t>The Certificate of Insurance should provide 30 days written notice of cancellation or material modification without a disclaimer and read:</w:t>
            </w:r>
          </w:p>
          <w:p>
            <w:pPr>
              <w:pStyle w:val="TableParagraph"/>
              <w:spacing w:line="254" w:lineRule="auto" w:before="143"/>
              <w:ind w:left="106" w:right="182" w:firstLine="8"/>
              <w:rPr>
                <w:sz w:val="17"/>
              </w:rPr>
            </w:pPr>
            <w:r>
              <w:rPr>
                <w:color w:val="212121"/>
                <w:w w:val="105"/>
                <w:sz w:val="17"/>
              </w:rPr>
              <w:t>"Before the stated expiration date the company will not cancel or reduce the insurance afforded under the above policies until at least 30 days notice of such cancellation has been mailed to the certificate holder</w:t>
            </w:r>
            <w:r>
              <w:rPr>
                <w:color w:val="3F3F3F"/>
                <w:w w:val="105"/>
                <w:sz w:val="17"/>
              </w:rPr>
              <w:t>."</w:t>
            </w:r>
          </w:p>
        </w:tc>
      </w:tr>
    </w:tbl>
    <w:p>
      <w:pPr>
        <w:pStyle w:val="BodyText"/>
        <w:spacing w:line="254" w:lineRule="auto" w:before="150"/>
        <w:ind w:left="183" w:firstLine="3"/>
      </w:pPr>
      <w:r>
        <w:rPr>
          <w:color w:val="212121"/>
          <w:w w:val="105"/>
        </w:rPr>
        <w:t>All required insurance must be maintained with acceptable insurance companies licensed to do business in the state in which the Property is located with a rating of not less than a VII as rated in the most currently available "Best's Insurance Guide".</w:t>
      </w:r>
    </w:p>
    <w:p>
      <w:pPr>
        <w:pStyle w:val="BodyText"/>
        <w:rPr>
          <w:sz w:val="10"/>
        </w:rPr>
      </w:pPr>
    </w:p>
    <w:tbl>
      <w:tblPr>
        <w:tblW w:w="0" w:type="auto"/>
        <w:jc w:val="left"/>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1"/>
        <w:gridCol w:w="7759"/>
      </w:tblGrid>
      <w:tr>
        <w:trPr>
          <w:trHeight w:val="467" w:hRule="atLeast"/>
        </w:trPr>
        <w:tc>
          <w:tcPr>
            <w:tcW w:w="10480" w:type="dxa"/>
            <w:gridSpan w:val="2"/>
            <w:tcBorders>
              <w:left w:val="single" w:sz="4" w:space="0" w:color="000000"/>
              <w:bottom w:val="single" w:sz="18" w:space="0" w:color="000000"/>
              <w:right w:val="single" w:sz="18" w:space="0" w:color="000000"/>
            </w:tcBorders>
          </w:tcPr>
          <w:p>
            <w:pPr>
              <w:pStyle w:val="TableParagraph"/>
              <w:spacing w:before="133"/>
              <w:ind w:left="136"/>
              <w:rPr>
                <w:b/>
                <w:sz w:val="17"/>
              </w:rPr>
            </w:pPr>
            <w:r>
              <w:rPr>
                <w:b/>
                <w:color w:val="FDFDFD"/>
                <w:w w:val="105"/>
                <w:sz w:val="17"/>
                <w:shd w:fill="083659" w:color="auto" w:val="clear"/>
              </w:rPr>
              <w:t>MINIMUM COVERAGE LIMITS</w:t>
            </w:r>
            <w:r>
              <w:rPr>
                <w:b/>
                <w:color w:val="AFDDEF"/>
                <w:w w:val="105"/>
                <w:sz w:val="17"/>
                <w:shd w:fill="FFFFFF" w:color="auto" w:val="clear"/>
              </w:rPr>
              <w:t>:</w:t>
            </w:r>
          </w:p>
        </w:tc>
      </w:tr>
      <w:tr>
        <w:trPr>
          <w:trHeight w:val="1222" w:hRule="atLeast"/>
        </w:trPr>
        <w:tc>
          <w:tcPr>
            <w:tcW w:w="2721" w:type="dxa"/>
            <w:tcBorders>
              <w:top w:val="single" w:sz="18" w:space="0" w:color="000000"/>
              <w:bottom w:val="single" w:sz="4" w:space="0" w:color="000000"/>
            </w:tcBorders>
          </w:tcPr>
          <w:p>
            <w:pPr>
              <w:pStyle w:val="TableParagraph"/>
              <w:spacing w:line="247" w:lineRule="auto" w:before="106"/>
              <w:ind w:left="135" w:right="809"/>
              <w:rPr>
                <w:b/>
                <w:sz w:val="17"/>
              </w:rPr>
            </w:pPr>
            <w:r>
              <w:rPr>
                <w:b/>
                <w:color w:val="212121"/>
                <w:w w:val="105"/>
                <w:sz w:val="17"/>
              </w:rPr>
              <w:t>Commercial General Liability:</w:t>
            </w:r>
          </w:p>
        </w:tc>
        <w:tc>
          <w:tcPr>
            <w:tcW w:w="7759" w:type="dxa"/>
            <w:tcBorders>
              <w:top w:val="single" w:sz="18" w:space="0" w:color="000000"/>
              <w:bottom w:val="single" w:sz="4" w:space="0" w:color="000000"/>
              <w:right w:val="single" w:sz="4" w:space="0" w:color="000000"/>
            </w:tcBorders>
          </w:tcPr>
          <w:p>
            <w:pPr>
              <w:pStyle w:val="TableParagraph"/>
              <w:spacing w:line="254" w:lineRule="auto" w:before="111"/>
              <w:ind w:left="132" w:right="200" w:firstLine="2"/>
              <w:rPr>
                <w:sz w:val="17"/>
              </w:rPr>
            </w:pPr>
            <w:r>
              <w:rPr>
                <w:color w:val="212121"/>
                <w:w w:val="105"/>
                <w:sz w:val="17"/>
              </w:rPr>
              <w:t>On an "occurrence" basis for bodily injury, death and property damage liability including (1) owners' and contractors' protective liability, (2) products/ completed operations liability, (3) broad form property damage liability, and (4) broad form contractual liability with a combined single limit of not less than One Million Dollars ($1,000,000</w:t>
            </w:r>
            <w:r>
              <w:rPr>
                <w:color w:val="3F3F3F"/>
                <w:w w:val="105"/>
                <w:sz w:val="17"/>
              </w:rPr>
              <w:t>.</w:t>
            </w:r>
            <w:r>
              <w:rPr>
                <w:color w:val="212121"/>
                <w:w w:val="105"/>
                <w:sz w:val="17"/>
              </w:rPr>
              <w:t>00) per occurrence and Two Million Dollars ($2,000,000.00) in aggregate.</w:t>
            </w:r>
          </w:p>
        </w:tc>
      </w:tr>
      <w:tr>
        <w:trPr>
          <w:trHeight w:val="715" w:hRule="atLeast"/>
        </w:trPr>
        <w:tc>
          <w:tcPr>
            <w:tcW w:w="2721" w:type="dxa"/>
            <w:tcBorders>
              <w:top w:val="single" w:sz="4" w:space="0" w:color="000000"/>
              <w:left w:val="single" w:sz="4" w:space="0" w:color="000000"/>
              <w:bottom w:val="single" w:sz="4" w:space="0" w:color="000000"/>
              <w:right w:val="single" w:sz="4" w:space="0" w:color="000000"/>
            </w:tcBorders>
          </w:tcPr>
          <w:p>
            <w:pPr>
              <w:pStyle w:val="TableParagraph"/>
              <w:spacing w:line="259" w:lineRule="auto" w:before="152"/>
              <w:ind w:left="126" w:firstLine="5"/>
              <w:rPr>
                <w:b/>
                <w:sz w:val="17"/>
              </w:rPr>
            </w:pPr>
            <w:r>
              <w:rPr>
                <w:b/>
                <w:color w:val="212121"/>
                <w:w w:val="105"/>
                <w:sz w:val="17"/>
              </w:rPr>
              <w:t>Commercial Automotive Liability:</w:t>
            </w:r>
          </w:p>
        </w:tc>
        <w:tc>
          <w:tcPr>
            <w:tcW w:w="7759" w:type="dxa"/>
            <w:tcBorders>
              <w:top w:val="single" w:sz="4" w:space="0" w:color="000000"/>
              <w:left w:val="single" w:sz="4" w:space="0" w:color="000000"/>
              <w:bottom w:val="single" w:sz="4" w:space="0" w:color="000000"/>
              <w:right w:val="single" w:sz="4" w:space="0" w:color="000000"/>
            </w:tcBorders>
          </w:tcPr>
          <w:p>
            <w:pPr>
              <w:pStyle w:val="TableParagraph"/>
              <w:spacing w:before="157"/>
              <w:ind w:left="130"/>
              <w:rPr>
                <w:sz w:val="17"/>
              </w:rPr>
            </w:pPr>
            <w:r>
              <w:rPr>
                <w:color w:val="212121"/>
                <w:w w:val="105"/>
                <w:sz w:val="17"/>
              </w:rPr>
              <w:t>Combined single limit of not less than One Million Dollars ($1</w:t>
            </w:r>
            <w:r>
              <w:rPr>
                <w:color w:val="3F3F3F"/>
                <w:w w:val="105"/>
                <w:sz w:val="17"/>
              </w:rPr>
              <w:t>,</w:t>
            </w:r>
            <w:r>
              <w:rPr>
                <w:color w:val="212121"/>
                <w:w w:val="105"/>
                <w:sz w:val="17"/>
              </w:rPr>
              <w:t>000,000</w:t>
            </w:r>
            <w:r>
              <w:rPr>
                <w:color w:val="3F3F3F"/>
                <w:w w:val="105"/>
                <w:sz w:val="17"/>
              </w:rPr>
              <w:t>.</w:t>
            </w:r>
            <w:r>
              <w:rPr>
                <w:color w:val="212121"/>
                <w:w w:val="105"/>
                <w:sz w:val="17"/>
              </w:rPr>
              <w:t>00}.</w:t>
            </w:r>
          </w:p>
        </w:tc>
      </w:tr>
      <w:tr>
        <w:trPr>
          <w:trHeight w:val="537" w:hRule="atLeast"/>
        </w:trPr>
        <w:tc>
          <w:tcPr>
            <w:tcW w:w="2721" w:type="dxa"/>
            <w:tcBorders>
              <w:top w:val="single" w:sz="4" w:space="0" w:color="000000"/>
              <w:left w:val="single" w:sz="4" w:space="0" w:color="000000"/>
              <w:bottom w:val="single" w:sz="4" w:space="0" w:color="000000"/>
              <w:right w:val="single" w:sz="4" w:space="0" w:color="000000"/>
            </w:tcBorders>
          </w:tcPr>
          <w:p>
            <w:pPr>
              <w:pStyle w:val="TableParagraph"/>
              <w:spacing w:before="152"/>
              <w:ind w:left="124"/>
              <w:rPr>
                <w:b/>
                <w:sz w:val="17"/>
              </w:rPr>
            </w:pPr>
            <w:r>
              <w:rPr>
                <w:b/>
                <w:color w:val="212121"/>
                <w:w w:val="105"/>
                <w:sz w:val="17"/>
              </w:rPr>
              <w:t>Workers Compensation:</w:t>
            </w:r>
          </w:p>
        </w:tc>
        <w:tc>
          <w:tcPr>
            <w:tcW w:w="7759" w:type="dxa"/>
            <w:tcBorders>
              <w:top w:val="single" w:sz="4" w:space="0" w:color="000000"/>
              <w:left w:val="single" w:sz="4" w:space="0" w:color="000000"/>
              <w:bottom w:val="single" w:sz="4" w:space="0" w:color="000000"/>
              <w:right w:val="single" w:sz="4" w:space="0" w:color="000000"/>
            </w:tcBorders>
          </w:tcPr>
          <w:p>
            <w:pPr>
              <w:pStyle w:val="TableParagraph"/>
              <w:spacing w:before="157"/>
              <w:ind w:left="126"/>
              <w:rPr>
                <w:sz w:val="17"/>
              </w:rPr>
            </w:pPr>
            <w:r>
              <w:rPr>
                <w:color w:val="212121"/>
                <w:w w:val="105"/>
                <w:sz w:val="17"/>
              </w:rPr>
              <w:t>Statutory limits as required by the laws of California.</w:t>
            </w:r>
          </w:p>
        </w:tc>
      </w:tr>
    </w:tbl>
    <w:p>
      <w:pPr>
        <w:pStyle w:val="BodyText"/>
        <w:spacing w:before="11"/>
        <w:rPr>
          <w:sz w:val="19"/>
        </w:rPr>
      </w:pPr>
    </w:p>
    <w:p>
      <w:pPr>
        <w:pStyle w:val="BodyText"/>
        <w:spacing w:line="252" w:lineRule="auto"/>
        <w:ind w:left="151" w:right="301" w:hanging="52"/>
      </w:pPr>
      <w:r>
        <w:rPr>
          <w:color w:val="212121"/>
          <w:w w:val="105"/>
        </w:rPr>
        <w:t>Acceptance of any Certificate of Insurance does not relieve you from your obligations with respect to insurance, nor does it limit or relieve you of any of your other duties or responsibilities. For your protection, please consider whether you should obtain higher insurance limits. Remember to provide evidence of renewal or replacement of any required policy not less than thirty (30) days before it expires or is cancelled.</w:t>
      </w:r>
    </w:p>
    <w:p>
      <w:pPr>
        <w:pStyle w:val="BodyText"/>
        <w:rPr>
          <w:sz w:val="20"/>
        </w:rPr>
      </w:pPr>
    </w:p>
    <w:p>
      <w:pPr>
        <w:pStyle w:val="BodyText"/>
        <w:rPr>
          <w:sz w:val="20"/>
        </w:rPr>
      </w:pPr>
    </w:p>
    <w:p>
      <w:pPr>
        <w:pStyle w:val="BodyText"/>
        <w:rPr>
          <w:sz w:val="20"/>
        </w:rPr>
      </w:pPr>
    </w:p>
    <w:p>
      <w:pPr>
        <w:pStyle w:val="BodyText"/>
        <w:spacing w:before="11"/>
        <w:rPr>
          <w:sz w:val="27"/>
        </w:rPr>
      </w:pPr>
    </w:p>
    <w:p>
      <w:pPr>
        <w:pStyle w:val="BodyText"/>
        <w:spacing w:before="95"/>
        <w:ind w:right="134"/>
        <w:jc w:val="center"/>
      </w:pPr>
      <w:r>
        <w:rPr>
          <w:color w:val="212121"/>
          <w:w w:val="105"/>
        </w:rPr>
        <w:t>If you have any questions, please contact the Office of the Building:</w:t>
      </w:r>
    </w:p>
    <w:p>
      <w:pPr>
        <w:pStyle w:val="BodyText"/>
        <w:tabs>
          <w:tab w:pos="2167" w:val="left" w:leader="none"/>
          <w:tab w:pos="4335" w:val="left" w:leader="none"/>
        </w:tabs>
        <w:spacing w:before="11"/>
        <w:ind w:right="133"/>
        <w:jc w:val="center"/>
      </w:pPr>
      <w:r>
        <w:rPr>
          <w:color w:val="212121"/>
          <w:w w:val="105"/>
        </w:rPr>
        <w:t>Phone:</w:t>
      </w:r>
      <w:r>
        <w:rPr>
          <w:color w:val="212121"/>
          <w:spacing w:val="7"/>
          <w:w w:val="105"/>
        </w:rPr>
        <w:t> </w:t>
      </w:r>
      <w:r>
        <w:rPr>
          <w:color w:val="212121"/>
          <w:w w:val="105"/>
        </w:rPr>
        <w:t>310-826-2587</w:t>
        <w:tab/>
        <w:t>Fax:</w:t>
      </w:r>
      <w:r>
        <w:rPr>
          <w:color w:val="212121"/>
          <w:spacing w:val="0"/>
          <w:w w:val="105"/>
        </w:rPr>
        <w:t> </w:t>
      </w:r>
      <w:r>
        <w:rPr>
          <w:color w:val="212121"/>
          <w:w w:val="105"/>
        </w:rPr>
        <w:t>310-820-7472</w:t>
        <w:tab/>
        <w:t>Email: </w:t>
      </w:r>
      <w:hyperlink r:id="rId6">
        <w:r>
          <w:rPr>
            <w:color w:val="2A5E9C"/>
            <w:w w:val="105"/>
            <w:u w:val="thick" w:color="2A5E9C"/>
          </w:rPr>
          <w:t>gla@douglasemmett.com</w:t>
        </w:r>
      </w:hyperlink>
    </w:p>
    <w:p>
      <w:pPr>
        <w:pStyle w:val="BodyText"/>
        <w:spacing w:before="16"/>
        <w:ind w:right="130"/>
        <w:jc w:val="center"/>
      </w:pPr>
      <w:r>
        <w:rPr>
          <w:color w:val="212121"/>
          <w:w w:val="105"/>
        </w:rPr>
        <w:t>12400 Wilshire Boulevard, Suite 210, Los Angeles, CA 90025</w:t>
      </w:r>
    </w:p>
    <w:p>
      <w:pPr>
        <w:spacing w:before="11"/>
        <w:ind w:left="0" w:right="99" w:firstLine="0"/>
        <w:jc w:val="right"/>
        <w:rPr>
          <w:b/>
          <w:sz w:val="16"/>
        </w:rPr>
      </w:pPr>
      <w:r>
        <w:rPr>
          <w:b/>
          <w:color w:val="212121"/>
          <w:w w:val="95"/>
          <w:sz w:val="16"/>
        </w:rPr>
        <w:t>Revised 07115</w:t>
      </w:r>
    </w:p>
    <w:sectPr>
      <w:type w:val="continuous"/>
      <w:pgSz w:w="12240" w:h="15840"/>
      <w:pgMar w:top="560" w:bottom="280" w:left="6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gla@douglasemm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Department</dc:creator>
  <dc:title>MergedFile</dc:title>
  <dcterms:created xsi:type="dcterms:W3CDTF">2018-06-22T16:39:34Z</dcterms:created>
  <dcterms:modified xsi:type="dcterms:W3CDTF">2018-06-22T16:39:34Z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2010</vt:lpwstr>
  </property>
  <property fmtid="{D5CDD505-2E9C-101B-9397-08002B2CF9AE}" pid="4" name="LastSaved">
    <vt:filetime>2018-06-22T00:00:00Z</vt:filetime>
  </property>
</Properties>
</file>